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E617" w14:textId="77777777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>ÕPPEKAVA </w:t>
      </w:r>
    </w:p>
    <w:p w14:paraId="773BC98F" w14:textId="77777777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1.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Üldandmed</w:t>
      </w:r>
      <w:proofErr w:type="spellEnd"/>
    </w:p>
    <w:p w14:paraId="4BB06A0C" w14:textId="2FDC3D5C" w:rsidR="0049719B" w:rsidRPr="0049719B" w:rsidRDefault="0049719B" w:rsidP="0049719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Õppekava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nimetus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ehk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mindfulnessi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õpetamine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tänapäeval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uue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"</w:t>
      </w:r>
      <w:proofErr w:type="spellStart"/>
      <w:r w:rsidRPr="0049719B">
        <w:rPr>
          <w:rFonts w:ascii="Calibri" w:hAnsi="Calibri" w:cs="Calibri"/>
          <w:sz w:val="24"/>
          <w:szCs w:val="24"/>
        </w:rPr>
        <w:t>Sügavam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" </w:t>
      </w:r>
      <w:proofErr w:type="spellStart"/>
      <w:r w:rsidRPr="0049719B">
        <w:rPr>
          <w:rFonts w:ascii="Calibri" w:hAnsi="Calibri" w:cs="Calibri"/>
          <w:sz w:val="24"/>
          <w:szCs w:val="24"/>
        </w:rPr>
        <w:t>kasutamine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(Teaching mindfulness today and using the new "Deeper Mindfulness" course) </w:t>
      </w:r>
    </w:p>
    <w:p w14:paraId="49E13097" w14:textId="15449689" w:rsidR="0049719B" w:rsidRPr="0049719B" w:rsidRDefault="0049719B" w:rsidP="0049719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Õppekavarühm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Kasvatusteadus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</w:p>
    <w:p w14:paraId="5F11EFB7" w14:textId="2676A10F" w:rsidR="0049719B" w:rsidRPr="0049719B" w:rsidRDefault="0049719B" w:rsidP="0049719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Õppesuund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õppekava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liik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49719B">
        <w:rPr>
          <w:rFonts w:ascii="Calibri" w:hAnsi="Calibri" w:cs="Calibri"/>
          <w:sz w:val="24"/>
          <w:szCs w:val="24"/>
        </w:rPr>
        <w:t>haridus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didaktika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õppekava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</w:p>
    <w:p w14:paraId="2666F34F" w14:textId="75374B10" w:rsidR="0049719B" w:rsidRPr="0049719B" w:rsidRDefault="0049719B" w:rsidP="0049719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Õppekava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koostamise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alus: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Uudne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olulisim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funktsioon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49719B">
        <w:rPr>
          <w:rFonts w:ascii="Calibri" w:hAnsi="Calibri" w:cs="Calibri"/>
          <w:sz w:val="24"/>
          <w:szCs w:val="24"/>
        </w:rPr>
        <w:t>toetada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ksinimesi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kes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vajad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täiendavat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tuge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ka </w:t>
      </w:r>
      <w:proofErr w:type="spellStart"/>
      <w:r w:rsidRPr="0049719B">
        <w:rPr>
          <w:rFonts w:ascii="Calibri" w:hAnsi="Calibri" w:cs="Calibri"/>
          <w:sz w:val="24"/>
          <w:szCs w:val="24"/>
        </w:rPr>
        <w:t>pärast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seniste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tõenduspõhiste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nagu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MBSR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MBCT </w:t>
      </w:r>
      <w:proofErr w:type="spellStart"/>
      <w:r w:rsidRPr="0049719B">
        <w:rPr>
          <w:rFonts w:ascii="Calibri" w:hAnsi="Calibri" w:cs="Calibri"/>
          <w:sz w:val="24"/>
          <w:szCs w:val="24"/>
        </w:rPr>
        <w:t>kasutamist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Koolituse </w:t>
      </w:r>
      <w:proofErr w:type="spellStart"/>
      <w:r w:rsidRPr="0049719B">
        <w:rPr>
          <w:rFonts w:ascii="Calibri" w:hAnsi="Calibri" w:cs="Calibri"/>
          <w:sz w:val="24"/>
          <w:szCs w:val="24"/>
        </w:rPr>
        <w:t>aluseks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49719B">
        <w:rPr>
          <w:rFonts w:ascii="Calibri" w:hAnsi="Calibri" w:cs="Calibri"/>
          <w:sz w:val="24"/>
          <w:szCs w:val="24"/>
        </w:rPr>
        <w:t>Oxfordi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Ülikooli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prof. Mark Williamsi </w:t>
      </w:r>
      <w:proofErr w:type="spellStart"/>
      <w:r w:rsidRPr="0049719B">
        <w:rPr>
          <w:rFonts w:ascii="Calibri" w:hAnsi="Calibri" w:cs="Calibri"/>
          <w:sz w:val="24"/>
          <w:szCs w:val="24"/>
        </w:rPr>
        <w:t>poolt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koostöös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Oxford Mindfulness </w:t>
      </w:r>
      <w:proofErr w:type="spellStart"/>
      <w:r w:rsidRPr="0049719B">
        <w:rPr>
          <w:rFonts w:ascii="Calibri" w:hAnsi="Calibri" w:cs="Calibri"/>
          <w:sz w:val="24"/>
          <w:szCs w:val="24"/>
        </w:rPr>
        <w:t>Centeriga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loodud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“Deeper Mindfulness”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49719B">
        <w:rPr>
          <w:rFonts w:ascii="Calibri" w:hAnsi="Calibri" w:cs="Calibri"/>
          <w:sz w:val="24"/>
          <w:szCs w:val="24"/>
        </w:rPr>
        <w:t>samanimeline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raamat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inglise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keeles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eesti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keelde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tõlgituna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49719B">
        <w:rPr>
          <w:rFonts w:ascii="Calibri" w:hAnsi="Calibri" w:cs="Calibri"/>
          <w:sz w:val="24"/>
          <w:szCs w:val="24"/>
        </w:rPr>
        <w:t>Sügavam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”)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teised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prof. Williamsi </w:t>
      </w:r>
      <w:proofErr w:type="spellStart"/>
      <w:r w:rsidRPr="0049719B">
        <w:rPr>
          <w:rFonts w:ascii="Calibri" w:hAnsi="Calibri" w:cs="Calibri"/>
          <w:sz w:val="24"/>
          <w:szCs w:val="24"/>
        </w:rPr>
        <w:t>õppematerjalid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</w:p>
    <w:p w14:paraId="5690DEA9" w14:textId="77777777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2.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Sihtgrupp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alustamise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tingimused</w:t>
      </w:r>
      <w:proofErr w:type="spellEnd"/>
    </w:p>
    <w:p w14:paraId="0EBAE5BF" w14:textId="045C6CA0" w:rsidR="0049719B" w:rsidRPr="0049719B" w:rsidRDefault="0049719B" w:rsidP="0049719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Sihtgrupp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edasijõudnud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</w:p>
    <w:p w14:paraId="002BDDFB" w14:textId="0B91674D" w:rsidR="0049719B" w:rsidRPr="0049719B" w:rsidRDefault="0049719B" w:rsidP="0049719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alustamise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tingimused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Läbitud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49719B">
        <w:rPr>
          <w:rFonts w:ascii="Calibri" w:hAnsi="Calibri" w:cs="Calibri"/>
          <w:sz w:val="24"/>
          <w:szCs w:val="24"/>
        </w:rPr>
        <w:t>mindfulnessi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koolitaja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põhiväljaõpe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49719B">
        <w:rPr>
          <w:rFonts w:ascii="Calibri" w:hAnsi="Calibri" w:cs="Calibri"/>
          <w:sz w:val="24"/>
          <w:szCs w:val="24"/>
        </w:rPr>
        <w:t>näiteks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2-aastane MBSR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või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MBCT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õpetaja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väljaõpe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). </w:t>
      </w:r>
      <w:r w:rsidRPr="0049719B">
        <w:rPr>
          <w:rFonts w:ascii="Calibri" w:hAnsi="Calibri" w:cs="Calibri"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Vähemalt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3-aastane </w:t>
      </w:r>
      <w:proofErr w:type="spellStart"/>
      <w:r w:rsidRPr="0049719B">
        <w:rPr>
          <w:rFonts w:ascii="Calibri" w:hAnsi="Calibri" w:cs="Calibri"/>
          <w:sz w:val="24"/>
          <w:szCs w:val="24"/>
        </w:rPr>
        <w:t>kogemus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mindfulness-</w:t>
      </w:r>
      <w:proofErr w:type="spellStart"/>
      <w:r w:rsidRPr="0049719B">
        <w:rPr>
          <w:rFonts w:ascii="Calibri" w:hAnsi="Calibri" w:cs="Calibri"/>
          <w:sz w:val="24"/>
          <w:szCs w:val="24"/>
        </w:rPr>
        <w:t>praktikate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regulaarsel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kasutamisel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</w:p>
    <w:p w14:paraId="2DEF9DDB" w14:textId="77777777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3.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eesmärk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õpiväljundid</w:t>
      </w:r>
      <w:proofErr w:type="spellEnd"/>
    </w:p>
    <w:p w14:paraId="5C87B2D3" w14:textId="51352C36" w:rsidR="0049719B" w:rsidRPr="0049719B" w:rsidRDefault="0049719B" w:rsidP="0049719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eesmärk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Koolituse </w:t>
      </w:r>
      <w:proofErr w:type="spellStart"/>
      <w:r w:rsidRPr="0049719B">
        <w:rPr>
          <w:rFonts w:ascii="Calibri" w:hAnsi="Calibri" w:cs="Calibri"/>
          <w:sz w:val="24"/>
          <w:szCs w:val="24"/>
        </w:rPr>
        <w:t>eesmärk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49719B">
        <w:rPr>
          <w:rFonts w:ascii="Calibri" w:hAnsi="Calibri" w:cs="Calibri"/>
          <w:sz w:val="24"/>
          <w:szCs w:val="24"/>
        </w:rPr>
        <w:t>anda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osalejatele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teadmised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praktilised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oskused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(mindfulness) </w:t>
      </w:r>
      <w:proofErr w:type="spellStart"/>
      <w:r w:rsidRPr="0049719B">
        <w:rPr>
          <w:rFonts w:ascii="Calibri" w:hAnsi="Calibri" w:cs="Calibri"/>
          <w:sz w:val="24"/>
          <w:szCs w:val="24"/>
        </w:rPr>
        <w:t>teoreetiliste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aluste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tõenduspõhiste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praktikate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didaktiliste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põhimõtete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rakendamiseks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täiskasvanute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haridusvaldkonna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kontekstis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et </w:t>
      </w:r>
      <w:proofErr w:type="spellStart"/>
      <w:r w:rsidRPr="0049719B">
        <w:rPr>
          <w:rFonts w:ascii="Calibri" w:hAnsi="Calibri" w:cs="Calibri"/>
          <w:sz w:val="24"/>
          <w:szCs w:val="24"/>
        </w:rPr>
        <w:t>toetada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kvaliteeti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eneseregulatsiooni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stressi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ennetamist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koolitaja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professionaalset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arengut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5CE42FD4" w14:textId="77777777" w:rsidR="0049719B" w:rsidRPr="0049719B" w:rsidRDefault="0049719B" w:rsidP="0049719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Õpiväljundid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r w:rsidRPr="0049719B">
        <w:rPr>
          <w:rFonts w:ascii="Calibri" w:hAnsi="Calibri" w:cs="Calibri"/>
          <w:b/>
          <w:bCs/>
          <w:sz w:val="24"/>
          <w:szCs w:val="24"/>
        </w:rPr>
        <w:t> </w:t>
      </w:r>
      <w:r w:rsidRPr="0049719B">
        <w:rPr>
          <w:rFonts w:ascii="Calibri" w:hAnsi="Calibri" w:cs="Calibri"/>
          <w:sz w:val="24"/>
          <w:szCs w:val="24"/>
        </w:rPr>
        <w:br/>
      </w:r>
      <w:r w:rsidRPr="0049719B">
        <w:rPr>
          <w:rFonts w:ascii="Calibri" w:hAnsi="Calibri" w:cs="Calibri"/>
          <w:sz w:val="24"/>
          <w:szCs w:val="24"/>
        </w:rPr>
        <w:br/>
        <w:t xml:space="preserve">Koolituse </w:t>
      </w:r>
      <w:proofErr w:type="spellStart"/>
      <w:r w:rsidRPr="0049719B">
        <w:rPr>
          <w:rFonts w:ascii="Calibri" w:hAnsi="Calibri" w:cs="Calibri"/>
          <w:sz w:val="24"/>
          <w:szCs w:val="24"/>
        </w:rPr>
        <w:t>läbinu</w:t>
      </w:r>
      <w:proofErr w:type="spellEnd"/>
      <w:r w:rsidRPr="0049719B">
        <w:rPr>
          <w:rFonts w:ascii="Calibri" w:hAnsi="Calibri" w:cs="Calibri"/>
          <w:sz w:val="24"/>
          <w:szCs w:val="24"/>
        </w:rPr>
        <w:t>:</w:t>
      </w:r>
    </w:p>
    <w:p w14:paraId="390BB66D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Selgitab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õppijatele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või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klientidele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arusaadavalt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(mindfulness) </w:t>
      </w:r>
      <w:proofErr w:type="spellStart"/>
      <w:r w:rsidRPr="0049719B">
        <w:rPr>
          <w:rFonts w:ascii="Calibri" w:hAnsi="Calibri" w:cs="Calibri"/>
          <w:sz w:val="24"/>
          <w:szCs w:val="24"/>
        </w:rPr>
        <w:t>teoreetilisi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aluseid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teaduslikult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tõendatud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mõju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hariduse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täiskasvanute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juhendamise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kontekstis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11624858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Analüüsib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(MBCT, Deeper Mindfulness) </w:t>
      </w:r>
      <w:proofErr w:type="spellStart"/>
      <w:r w:rsidRPr="0049719B">
        <w:rPr>
          <w:rFonts w:ascii="Calibri" w:hAnsi="Calibri" w:cs="Calibri"/>
          <w:sz w:val="24"/>
          <w:szCs w:val="24"/>
        </w:rPr>
        <w:t>didaktilisi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põhimõtteid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seob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need </w:t>
      </w:r>
      <w:proofErr w:type="spellStart"/>
      <w:r w:rsidRPr="0049719B">
        <w:rPr>
          <w:rFonts w:ascii="Calibri" w:hAnsi="Calibri" w:cs="Calibri"/>
          <w:sz w:val="24"/>
          <w:szCs w:val="24"/>
        </w:rPr>
        <w:t>kaasaegsete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kasvatusteaduslike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käsitlustega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027E1C28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Toob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näiteid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hindab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teadvelolekupõhiste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sekkumiste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kasutusvõimalusi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juhendamissituatsioonides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49719B">
        <w:rPr>
          <w:rFonts w:ascii="Calibri" w:hAnsi="Calibri" w:cs="Calibri"/>
          <w:sz w:val="24"/>
          <w:szCs w:val="24"/>
        </w:rPr>
        <w:t>nt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stressi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ülekoormuse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ennetamine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õppijatel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õpimotivatsiooni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keskendumise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toetamine</w:t>
      </w:r>
      <w:proofErr w:type="spellEnd"/>
      <w:r w:rsidRPr="0049719B">
        <w:rPr>
          <w:rFonts w:ascii="Calibri" w:hAnsi="Calibri" w:cs="Calibri"/>
          <w:sz w:val="24"/>
          <w:szCs w:val="24"/>
        </w:rPr>
        <w:t>).</w:t>
      </w:r>
    </w:p>
    <w:p w14:paraId="3B0AE93F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lastRenderedPageBreak/>
        <w:t>Selgitab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juhendatud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praktikaid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õppeprotsessi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osana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sõnastab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nende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eesmärgid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mõju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arengule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2CA2F101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Selgitab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rakendab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49719B">
        <w:rPr>
          <w:rFonts w:ascii="Calibri" w:hAnsi="Calibri" w:cs="Calibri"/>
          <w:sz w:val="24"/>
          <w:szCs w:val="24"/>
        </w:rPr>
        <w:t>tundetooni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” (feeling tone) </w:t>
      </w:r>
      <w:proofErr w:type="spellStart"/>
      <w:r w:rsidRPr="0049719B">
        <w:rPr>
          <w:rFonts w:ascii="Calibri" w:hAnsi="Calibri" w:cs="Calibri"/>
          <w:sz w:val="24"/>
          <w:szCs w:val="24"/>
        </w:rPr>
        <w:t>kontseptsiooni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eneseregulatsiooni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toetamise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tööriistana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0204790D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Kavandab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lühikesi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719B">
        <w:rPr>
          <w:rFonts w:ascii="Calibri" w:hAnsi="Calibri" w:cs="Calibri"/>
          <w:sz w:val="24"/>
          <w:szCs w:val="24"/>
        </w:rPr>
        <w:t>või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koolituslõike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kus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elemente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kasutatakse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õpetamise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kvaliteedi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tõstmiseks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00A4985B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Analüüsib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metoodikate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sobivust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erinevate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vajaduste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koolituskontekstide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jaoks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45758A1E" w14:textId="77777777" w:rsidR="0049719B" w:rsidRPr="0049719B" w:rsidRDefault="0049719B" w:rsidP="0049719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Arendab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oma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professionaalset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kompetentsi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täiskasvanute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koolitajana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rakendades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didaktilisi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metoodilisi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põhimõtteid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õpetamise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kvaliteedi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tõstmiseks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47CB72B8" w14:textId="38AC5BF0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Õpiväljundite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hindamine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b/>
          <w:bCs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Õppija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salvestab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18-minutilise </w:t>
      </w:r>
      <w:proofErr w:type="spellStart"/>
      <w:r w:rsidRPr="0049719B">
        <w:rPr>
          <w:rFonts w:ascii="Calibri" w:hAnsi="Calibri" w:cs="Calibri"/>
          <w:sz w:val="24"/>
          <w:szCs w:val="24"/>
        </w:rPr>
        <w:t>või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pikema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i/>
          <w:iCs/>
          <w:sz w:val="24"/>
          <w:szCs w:val="24"/>
        </w:rPr>
        <w:t>podcasti</w:t>
      </w:r>
      <w:proofErr w:type="spellEnd"/>
      <w:r w:rsidRPr="004971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stiilis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audiomaterjali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millega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demonstreerib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õpiväljundite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saavutamist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on Mark Williamsi </w:t>
      </w:r>
      <w:proofErr w:type="spellStart"/>
      <w:r w:rsidRPr="0049719B">
        <w:rPr>
          <w:rFonts w:ascii="Calibri" w:hAnsi="Calibri" w:cs="Calibri"/>
          <w:sz w:val="24"/>
          <w:szCs w:val="24"/>
        </w:rPr>
        <w:t>raamatus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49719B">
        <w:rPr>
          <w:rFonts w:ascii="Calibri" w:hAnsi="Calibri" w:cs="Calibri"/>
          <w:sz w:val="24"/>
          <w:szCs w:val="24"/>
        </w:rPr>
        <w:t>Sügavam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” (“Deeper Mindfulness”) </w:t>
      </w:r>
      <w:proofErr w:type="spellStart"/>
      <w:r w:rsidRPr="0049719B">
        <w:rPr>
          <w:rFonts w:ascii="Calibri" w:hAnsi="Calibri" w:cs="Calibri"/>
          <w:sz w:val="24"/>
          <w:szCs w:val="24"/>
        </w:rPr>
        <w:t>märkinud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vähemalt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neljast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peatükist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igas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peatükis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ära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vähemalt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kümme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peatükis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kõnetanud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kohta</w:t>
      </w:r>
      <w:proofErr w:type="spellEnd"/>
      <w:r w:rsidRPr="0049719B">
        <w:rPr>
          <w:rFonts w:ascii="Calibri" w:hAnsi="Calibri" w:cs="Calibri"/>
          <w:sz w:val="24"/>
          <w:szCs w:val="24"/>
        </w:rPr>
        <w:t>. </w:t>
      </w:r>
    </w:p>
    <w:p w14:paraId="62FCCFF0" w14:textId="77777777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4.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Õppekava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sisu</w:t>
      </w:r>
    </w:p>
    <w:p w14:paraId="17C214E3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Teema 1: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teoreetilised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alused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tähendus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koolituses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Tutvustatakse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mõistet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ajaloolisi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teaduslikke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aluseid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arutletakse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selle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rakendusvõimaluste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üle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õppetegevustes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inimeste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arengu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toetamises</w:t>
      </w:r>
      <w:proofErr w:type="spellEnd"/>
      <w:r w:rsidRPr="0049719B">
        <w:rPr>
          <w:rFonts w:ascii="Calibri" w:hAnsi="Calibri" w:cs="Calibri"/>
          <w:sz w:val="24"/>
          <w:szCs w:val="24"/>
        </w:rPr>
        <w:t>. </w:t>
      </w:r>
    </w:p>
    <w:p w14:paraId="0BA8151F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>Teema 2: Deeper Mindfulness (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Sügavam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teadvelolek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)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raamistik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br/>
      </w:r>
      <w:r w:rsidRPr="0049719B">
        <w:rPr>
          <w:rFonts w:ascii="Calibri" w:hAnsi="Calibri" w:cs="Calibri"/>
          <w:sz w:val="24"/>
          <w:szCs w:val="24"/>
        </w:rPr>
        <w:t xml:space="preserve">Antakse </w:t>
      </w:r>
      <w:proofErr w:type="spellStart"/>
      <w:r w:rsidRPr="0049719B">
        <w:rPr>
          <w:rFonts w:ascii="Calibri" w:hAnsi="Calibri" w:cs="Calibri"/>
          <w:sz w:val="24"/>
          <w:szCs w:val="24"/>
        </w:rPr>
        <w:t>ülevaade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uue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ülesehitusest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põhimõtetest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uuendustest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võrreldes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varasemate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programmidega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9719B">
        <w:rPr>
          <w:rFonts w:ascii="Calibri" w:hAnsi="Calibri" w:cs="Calibri"/>
          <w:sz w:val="24"/>
          <w:szCs w:val="24"/>
        </w:rPr>
        <w:t>Arutletakse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kuidas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lähenemine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toetab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õppimist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õpetamist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4A3EF2C5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Teema 3: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praktikad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nende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rakendamine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Osalejad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kogevad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analüüsivad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praktikaid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pöörates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tähelepanu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sellele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kuidas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neid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inimeste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toetamisel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kasutada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õpetada</w:t>
      </w:r>
      <w:proofErr w:type="spellEnd"/>
      <w:r w:rsidRPr="0049719B">
        <w:rPr>
          <w:rFonts w:ascii="Calibri" w:hAnsi="Calibri" w:cs="Calibri"/>
          <w:sz w:val="24"/>
          <w:szCs w:val="24"/>
        </w:rPr>
        <w:t>. </w:t>
      </w:r>
    </w:p>
    <w:p w14:paraId="6BF4455B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Teema 4: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Tundetooni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(feeling tone)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kontseptsioon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juhendamises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Tutvustatakse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tundetooni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mõistet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selle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rolli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eneseregulatsioonis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protsessis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9719B">
        <w:rPr>
          <w:rFonts w:ascii="Calibri" w:hAnsi="Calibri" w:cs="Calibri"/>
          <w:sz w:val="24"/>
          <w:szCs w:val="24"/>
        </w:rPr>
        <w:t>Arutletakse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kuidas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teemat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saab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seostada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juhendamise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kontekstiga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1515B371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Teema 5: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Teadvelolekupõhised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sekkumised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täiskasvanute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Analüüsitakse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teadvelolekupõhiste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meetodite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rakendamist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erinevates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õpikeskkondades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sealhulgas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nende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võimalikke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mõjusid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motivatsioonile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stressijuhtimisele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heaolule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7C91A16E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Teema 6: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Arutelu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Eesti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teadlastega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–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programmide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mõjud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Arutelu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keskendub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teaduslikele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uuringutele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kogemustele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rakendamisel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Eestis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rahvusvaheliselt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toetades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osalejate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oskust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hinnata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nende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tõenduspõhisust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rakendatavust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79EAFFAE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lastRenderedPageBreak/>
        <w:t xml:space="preserve">Teema 7: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Müüdid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piirangud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kasutamisel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koolituses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juhendamises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br/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Vaadeldakse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levinud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arusaamu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väärarusaamu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kohta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arutletakse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selle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metoodika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tugevusi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piiranguid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klientide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juhendamise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kontekstis</w:t>
      </w:r>
      <w:proofErr w:type="spellEnd"/>
      <w:r w:rsidRPr="0049719B">
        <w:rPr>
          <w:rFonts w:ascii="Calibri" w:hAnsi="Calibri" w:cs="Calibri"/>
          <w:sz w:val="24"/>
          <w:szCs w:val="24"/>
        </w:rPr>
        <w:t>.</w:t>
      </w:r>
    </w:p>
    <w:p w14:paraId="1B89DEB7" w14:textId="37622442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Teema 8: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Professionaalne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areng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koolitaja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inimeste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toetajana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719B">
        <w:rPr>
          <w:rFonts w:ascii="Calibri" w:hAnsi="Calibri" w:cs="Calibri"/>
          <w:b/>
          <w:bCs/>
          <w:sz w:val="24"/>
          <w:szCs w:val="24"/>
        </w:rPr>
        <w:br/>
      </w:r>
      <w:proofErr w:type="spellStart"/>
      <w:r w:rsidRPr="0049719B">
        <w:rPr>
          <w:rFonts w:ascii="Calibri" w:hAnsi="Calibri" w:cs="Calibri"/>
          <w:sz w:val="24"/>
          <w:szCs w:val="24"/>
        </w:rPr>
        <w:t>Reflekteeritakse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kuidas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didaktilised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põhimõtted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praktikad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saavad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toetada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koolitaja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enda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arengut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ning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õpetamise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juhendamise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kvaliteeti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Pr="0049719B">
        <w:rPr>
          <w:rFonts w:ascii="Calibri" w:hAnsi="Calibri" w:cs="Calibri"/>
          <w:sz w:val="24"/>
          <w:szCs w:val="24"/>
        </w:rPr>
        <w:br/>
      </w:r>
    </w:p>
    <w:p w14:paraId="1331DB64" w14:textId="77777777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5.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kogumaht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korraldus</w:t>
      </w:r>
      <w:proofErr w:type="spellEnd"/>
    </w:p>
    <w:p w14:paraId="7ABA34AF" w14:textId="77777777" w:rsidR="0049719B" w:rsidRPr="0049719B" w:rsidRDefault="0049719B" w:rsidP="0049719B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Maht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tundides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65 </w:t>
      </w:r>
      <w:proofErr w:type="spellStart"/>
      <w:r w:rsidRPr="0049719B">
        <w:rPr>
          <w:rFonts w:ascii="Calibri" w:hAnsi="Calibri" w:cs="Calibri"/>
          <w:sz w:val="24"/>
          <w:szCs w:val="24"/>
        </w:rPr>
        <w:t>ak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/h, </w:t>
      </w:r>
      <w:proofErr w:type="spellStart"/>
      <w:r w:rsidRPr="0049719B">
        <w:rPr>
          <w:rFonts w:ascii="Calibri" w:hAnsi="Calibri" w:cs="Calibri"/>
          <w:sz w:val="24"/>
          <w:szCs w:val="24"/>
        </w:rPr>
        <w:t>neist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45 </w:t>
      </w:r>
      <w:proofErr w:type="spellStart"/>
      <w:r w:rsidRPr="0049719B">
        <w:rPr>
          <w:rFonts w:ascii="Calibri" w:hAnsi="Calibri" w:cs="Calibri"/>
          <w:sz w:val="24"/>
          <w:szCs w:val="24"/>
        </w:rPr>
        <w:t>ak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/h </w:t>
      </w:r>
      <w:proofErr w:type="spellStart"/>
      <w:r w:rsidRPr="0049719B">
        <w:rPr>
          <w:rFonts w:ascii="Calibri" w:hAnsi="Calibri" w:cs="Calibri"/>
          <w:sz w:val="24"/>
          <w:szCs w:val="24"/>
        </w:rPr>
        <w:t>audiotoorne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õppetöö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25 </w:t>
      </w:r>
      <w:proofErr w:type="spellStart"/>
      <w:r w:rsidRPr="0049719B">
        <w:rPr>
          <w:rFonts w:ascii="Calibri" w:hAnsi="Calibri" w:cs="Calibri"/>
          <w:sz w:val="24"/>
          <w:szCs w:val="24"/>
        </w:rPr>
        <w:t>ak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/h </w:t>
      </w:r>
      <w:proofErr w:type="spellStart"/>
      <w:r w:rsidRPr="0049719B">
        <w:rPr>
          <w:rFonts w:ascii="Calibri" w:hAnsi="Calibri" w:cs="Calibri"/>
          <w:sz w:val="24"/>
          <w:szCs w:val="24"/>
        </w:rPr>
        <w:t>iseseisev</w:t>
      </w:r>
      <w:proofErr w:type="spellEnd"/>
    </w:p>
    <w:p w14:paraId="548427F7" w14:textId="3E044503" w:rsidR="0049719B" w:rsidRPr="0049719B" w:rsidRDefault="0049719B" w:rsidP="0049719B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Õppevorm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auditoorne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iseseisev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töö</w:t>
      </w:r>
      <w:proofErr w:type="spellEnd"/>
    </w:p>
    <w:p w14:paraId="6B6FFA1E" w14:textId="75C99624" w:rsidR="0049719B" w:rsidRPr="0049719B" w:rsidRDefault="0049719B" w:rsidP="0049719B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Õppekeskkond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r w:rsidRPr="0049719B">
        <w:rPr>
          <w:rFonts w:ascii="Calibri" w:hAnsi="Calibri" w:cs="Calibri"/>
          <w:sz w:val="24"/>
          <w:szCs w:val="24"/>
        </w:rPr>
        <w:br/>
        <w:t xml:space="preserve">Estonian Business School, Tallinn (16. - 17. </w:t>
      </w:r>
      <w:proofErr w:type="spellStart"/>
      <w:r w:rsidRPr="0049719B">
        <w:rPr>
          <w:rFonts w:ascii="Calibri" w:hAnsi="Calibri" w:cs="Calibri"/>
          <w:sz w:val="24"/>
          <w:szCs w:val="24"/>
        </w:rPr>
        <w:t>september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): </w:t>
      </w:r>
      <w:r w:rsidRPr="0049719B">
        <w:rPr>
          <w:rFonts w:ascii="Calibri" w:hAnsi="Calibri" w:cs="Calibri"/>
          <w:sz w:val="24"/>
          <w:szCs w:val="24"/>
        </w:rPr>
        <w:br/>
        <w:t xml:space="preserve">Maria </w:t>
      </w:r>
      <w:proofErr w:type="spellStart"/>
      <w:r w:rsidRPr="0049719B">
        <w:rPr>
          <w:rFonts w:ascii="Calibri" w:hAnsi="Calibri" w:cs="Calibri"/>
          <w:sz w:val="24"/>
          <w:szCs w:val="24"/>
        </w:rPr>
        <w:t>talu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Pärnumaa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(18. - 21. </w:t>
      </w:r>
      <w:proofErr w:type="spellStart"/>
      <w:r w:rsidRPr="0049719B">
        <w:rPr>
          <w:rFonts w:ascii="Calibri" w:hAnsi="Calibri" w:cs="Calibri"/>
          <w:sz w:val="24"/>
          <w:szCs w:val="24"/>
        </w:rPr>
        <w:t>september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): </w:t>
      </w:r>
    </w:p>
    <w:p w14:paraId="41DB4E1B" w14:textId="77777777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6.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Õppe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lõpetamise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tingimused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väljastatav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dokument</w:t>
      </w:r>
      <w:proofErr w:type="spellEnd"/>
    </w:p>
    <w:p w14:paraId="1550295E" w14:textId="6226C0E9" w:rsidR="0049719B" w:rsidRPr="0049719B" w:rsidRDefault="0049719B" w:rsidP="0049719B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Lõpetamise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tingimused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>:</w:t>
      </w:r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Osalemine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õppetöös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vähemalt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80% </w:t>
      </w:r>
      <w:proofErr w:type="spellStart"/>
      <w:r w:rsidRPr="0049719B">
        <w:rPr>
          <w:rFonts w:ascii="Calibri" w:hAnsi="Calibri" w:cs="Calibri"/>
          <w:sz w:val="24"/>
          <w:szCs w:val="24"/>
        </w:rPr>
        <w:t>ulatuses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salvestab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18-minutilise </w:t>
      </w:r>
      <w:proofErr w:type="spellStart"/>
      <w:r w:rsidRPr="0049719B">
        <w:rPr>
          <w:rFonts w:ascii="Calibri" w:hAnsi="Calibri" w:cs="Calibri"/>
          <w:sz w:val="24"/>
          <w:szCs w:val="24"/>
        </w:rPr>
        <w:t>või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pikema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i/>
          <w:iCs/>
          <w:sz w:val="24"/>
          <w:szCs w:val="24"/>
        </w:rPr>
        <w:t>podcasti</w:t>
      </w:r>
      <w:proofErr w:type="spellEnd"/>
      <w:r w:rsidRPr="0049719B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stiilis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audiomaterjali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719B">
        <w:rPr>
          <w:rFonts w:ascii="Calibri" w:hAnsi="Calibri" w:cs="Calibri"/>
          <w:sz w:val="24"/>
          <w:szCs w:val="24"/>
        </w:rPr>
        <w:t>millega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demonstreerib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õpiväljundite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saavutamist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9719B">
        <w:rPr>
          <w:rFonts w:ascii="Calibri" w:hAnsi="Calibri" w:cs="Calibri"/>
          <w:sz w:val="24"/>
          <w:szCs w:val="24"/>
        </w:rPr>
        <w:t>Õppija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on Mark Williamsi </w:t>
      </w:r>
      <w:proofErr w:type="spellStart"/>
      <w:r w:rsidRPr="0049719B">
        <w:rPr>
          <w:rFonts w:ascii="Calibri" w:hAnsi="Calibri" w:cs="Calibri"/>
          <w:sz w:val="24"/>
          <w:szCs w:val="24"/>
        </w:rPr>
        <w:t>raamatus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49719B">
        <w:rPr>
          <w:rFonts w:ascii="Calibri" w:hAnsi="Calibri" w:cs="Calibri"/>
          <w:sz w:val="24"/>
          <w:szCs w:val="24"/>
        </w:rPr>
        <w:t>Sügavam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” (“Deeper Mindfulness”) </w:t>
      </w:r>
      <w:proofErr w:type="spellStart"/>
      <w:r w:rsidRPr="0049719B">
        <w:rPr>
          <w:rFonts w:ascii="Calibri" w:hAnsi="Calibri" w:cs="Calibri"/>
          <w:sz w:val="24"/>
          <w:szCs w:val="24"/>
        </w:rPr>
        <w:t>märkinud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vähemalt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neljast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peatükist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igas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peatükis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ära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vähemalt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kümme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teda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peatükis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kõnetanud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kohta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</w:p>
    <w:p w14:paraId="3F4FC088" w14:textId="77777777" w:rsidR="0049719B" w:rsidRPr="0049719B" w:rsidRDefault="0049719B" w:rsidP="0049719B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Väljastatav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dokument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49719B">
        <w:rPr>
          <w:rFonts w:ascii="Calibri" w:hAnsi="Calibri" w:cs="Calibri"/>
          <w:sz w:val="24"/>
          <w:szCs w:val="24"/>
        </w:rPr>
        <w:t>tunnistus</w:t>
      </w:r>
      <w:proofErr w:type="spellEnd"/>
    </w:p>
    <w:p w14:paraId="719A02E3" w14:textId="03C38370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</w:p>
    <w:p w14:paraId="5547852F" w14:textId="6DF874A2" w:rsidR="0049719B" w:rsidRPr="0049719B" w:rsidRDefault="0049719B" w:rsidP="0049719B">
      <w:pPr>
        <w:rPr>
          <w:rFonts w:ascii="Calibri" w:hAnsi="Calibri" w:cs="Calibri"/>
          <w:b/>
          <w:bCs/>
          <w:sz w:val="24"/>
          <w:szCs w:val="24"/>
        </w:rPr>
      </w:pPr>
      <w:r w:rsidRPr="0049719B">
        <w:rPr>
          <w:rFonts w:ascii="Calibri" w:hAnsi="Calibri" w:cs="Calibri"/>
          <w:b/>
          <w:bCs/>
          <w:sz w:val="24"/>
          <w:szCs w:val="24"/>
        </w:rPr>
        <w:t xml:space="preserve">7.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Koolitaja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b/>
          <w:bCs/>
          <w:sz w:val="24"/>
          <w:szCs w:val="24"/>
        </w:rPr>
        <w:t>korraldajad</w:t>
      </w:r>
      <w:proofErr w:type="spellEnd"/>
    </w:p>
    <w:p w14:paraId="33CD5084" w14:textId="77777777" w:rsidR="0049719B" w:rsidRPr="0049719B" w:rsidRDefault="0049719B" w:rsidP="0049719B">
      <w:pPr>
        <w:rPr>
          <w:rFonts w:ascii="Calibri" w:hAnsi="Calibri" w:cs="Calibri"/>
          <w:sz w:val="24"/>
          <w:szCs w:val="24"/>
        </w:rPr>
      </w:pPr>
      <w:proofErr w:type="spellStart"/>
      <w:r w:rsidRPr="0049719B">
        <w:rPr>
          <w:rFonts w:ascii="Calibri" w:hAnsi="Calibri" w:cs="Calibri"/>
          <w:sz w:val="24"/>
          <w:szCs w:val="24"/>
        </w:rPr>
        <w:t>Koolitust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viib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läbi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prof. Mark Williams, </w:t>
      </w:r>
      <w:proofErr w:type="spellStart"/>
      <w:r w:rsidRPr="0049719B">
        <w:rPr>
          <w:rFonts w:ascii="Calibri" w:hAnsi="Calibri" w:cs="Calibri"/>
          <w:sz w:val="24"/>
          <w:szCs w:val="24"/>
        </w:rPr>
        <w:t>Oxfordi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Ülikooli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psühholoogia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professor, </w:t>
      </w:r>
      <w:proofErr w:type="spellStart"/>
      <w:r w:rsidRPr="0049719B">
        <w:rPr>
          <w:rFonts w:ascii="Calibri" w:hAnsi="Calibri" w:cs="Calibri"/>
          <w:sz w:val="24"/>
          <w:szCs w:val="24"/>
        </w:rPr>
        <w:t>Oxfordi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Keskuse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asutajaliige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MBCT </w:t>
      </w:r>
      <w:proofErr w:type="spellStart"/>
      <w:r w:rsidRPr="0049719B">
        <w:rPr>
          <w:rFonts w:ascii="Calibri" w:hAnsi="Calibri" w:cs="Calibri"/>
          <w:sz w:val="24"/>
          <w:szCs w:val="24"/>
        </w:rPr>
        <w:t>tõenduspõhise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uue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Deeper Mindfulness </w:t>
      </w:r>
      <w:proofErr w:type="spellStart"/>
      <w:r w:rsidRPr="0049719B">
        <w:rPr>
          <w:rFonts w:ascii="Calibri" w:hAnsi="Calibri" w:cs="Calibri"/>
          <w:sz w:val="24"/>
          <w:szCs w:val="24"/>
        </w:rPr>
        <w:t>programmi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üks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loojatest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9719B">
        <w:rPr>
          <w:rFonts w:ascii="Calibri" w:hAnsi="Calibri" w:cs="Calibri"/>
          <w:sz w:val="24"/>
          <w:szCs w:val="24"/>
        </w:rPr>
        <w:t>Koolitus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toimub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koostöös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partneritega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MTÜ </w:t>
      </w:r>
      <w:proofErr w:type="spellStart"/>
      <w:r w:rsidRPr="0049719B">
        <w:rPr>
          <w:rFonts w:ascii="Calibri" w:hAnsi="Calibri" w:cs="Calibri"/>
          <w:sz w:val="24"/>
          <w:szCs w:val="24"/>
        </w:rPr>
        <w:t>Vaikuseminutid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ja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MTÜ </w:t>
      </w:r>
      <w:proofErr w:type="spellStart"/>
      <w:r w:rsidRPr="0049719B">
        <w:rPr>
          <w:rFonts w:ascii="Calibri" w:hAnsi="Calibri" w:cs="Calibri"/>
          <w:sz w:val="24"/>
          <w:szCs w:val="24"/>
        </w:rPr>
        <w:t>Teadveloleku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719B">
        <w:rPr>
          <w:rFonts w:ascii="Calibri" w:hAnsi="Calibri" w:cs="Calibri"/>
          <w:sz w:val="24"/>
          <w:szCs w:val="24"/>
        </w:rPr>
        <w:t>kompetentsikeskus</w:t>
      </w:r>
      <w:proofErr w:type="spellEnd"/>
      <w:r w:rsidRPr="0049719B">
        <w:rPr>
          <w:rFonts w:ascii="Calibri" w:hAnsi="Calibri" w:cs="Calibri"/>
          <w:sz w:val="24"/>
          <w:szCs w:val="24"/>
        </w:rPr>
        <w:t xml:space="preserve"> (TOKO).</w:t>
      </w:r>
    </w:p>
    <w:p w14:paraId="5AA17265" w14:textId="77777777" w:rsidR="007655C4" w:rsidRDefault="007655C4"/>
    <w:sectPr w:rsidR="0076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8303D"/>
    <w:multiLevelType w:val="multilevel"/>
    <w:tmpl w:val="BCE0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52841"/>
    <w:multiLevelType w:val="multilevel"/>
    <w:tmpl w:val="1AD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03EB"/>
    <w:multiLevelType w:val="multilevel"/>
    <w:tmpl w:val="DD6C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04C5"/>
    <w:multiLevelType w:val="multilevel"/>
    <w:tmpl w:val="5B6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84F24"/>
    <w:multiLevelType w:val="multilevel"/>
    <w:tmpl w:val="A03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D42F3"/>
    <w:multiLevelType w:val="multilevel"/>
    <w:tmpl w:val="543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93991">
    <w:abstractNumId w:val="5"/>
  </w:num>
  <w:num w:numId="2" w16cid:durableId="1442842004">
    <w:abstractNumId w:val="1"/>
  </w:num>
  <w:num w:numId="3" w16cid:durableId="79715367">
    <w:abstractNumId w:val="2"/>
  </w:num>
  <w:num w:numId="4" w16cid:durableId="1287926246">
    <w:abstractNumId w:val="0"/>
  </w:num>
  <w:num w:numId="5" w16cid:durableId="427191105">
    <w:abstractNumId w:val="4"/>
  </w:num>
  <w:num w:numId="6" w16cid:durableId="589970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CD"/>
    <w:rsid w:val="0001007B"/>
    <w:rsid w:val="00054D73"/>
    <w:rsid w:val="001F39DB"/>
    <w:rsid w:val="0049719B"/>
    <w:rsid w:val="00635762"/>
    <w:rsid w:val="007655C4"/>
    <w:rsid w:val="007A1217"/>
    <w:rsid w:val="00AD05CD"/>
    <w:rsid w:val="00EE7BE1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F151"/>
  <w15:chartTrackingRefBased/>
  <w15:docId w15:val="{CB076B3B-7239-4C22-B81E-C89B2C9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Koidu Tani-Jürisoo</dc:creator>
  <cp:keywords/>
  <dc:description/>
  <cp:lastModifiedBy>Koidu Tani-Jürisoo</cp:lastModifiedBy>
  <cp:revision>2</cp:revision>
  <dcterms:created xsi:type="dcterms:W3CDTF">2025-09-12T08:52:00Z</dcterms:created>
  <dcterms:modified xsi:type="dcterms:W3CDTF">2025-09-12T08:54:00Z</dcterms:modified>
</cp:coreProperties>
</file>